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F478F6">
              <w:rPr>
                <w:sz w:val="18"/>
                <w:szCs w:val="18"/>
              </w:rPr>
              <w:t>Alton</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F478F6"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F478F6" w:rsidRPr="00C132B4" w:rsidRDefault="00F478F6" w:rsidP="004748C6">
            <w:pPr>
              <w:rPr>
                <w:sz w:val="18"/>
                <w:szCs w:val="18"/>
              </w:rPr>
            </w:pPr>
            <w:r>
              <w:rPr>
                <w:sz w:val="18"/>
                <w:szCs w:val="18"/>
              </w:rPr>
              <w:t>13/05/21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32624C6" wp14:editId="595DA17C">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F478F6" w:rsidTr="00616D80">
        <w:trPr>
          <w:trHeight w:hRule="exact" w:val="930"/>
        </w:trPr>
        <w:tc>
          <w:tcPr>
            <w:tcW w:w="1843" w:type="dxa"/>
          </w:tcPr>
          <w:p w:rsidR="00F478F6" w:rsidRDefault="00F478F6" w:rsidP="0086009E">
            <w:pPr>
              <w:spacing w:before="240"/>
              <w:rPr>
                <w:rFonts w:eastAsia="Arial Unicode MS" w:cs="Arial"/>
                <w:sz w:val="18"/>
                <w:szCs w:val="18"/>
              </w:rPr>
            </w:pPr>
            <w:r>
              <w:rPr>
                <w:rFonts w:eastAsia="Arial Unicode MS" w:cs="Arial"/>
                <w:sz w:val="18"/>
                <w:szCs w:val="18"/>
              </w:rPr>
              <w:t>0.4 miles. Crossing A340</w:t>
            </w:r>
          </w:p>
        </w:tc>
        <w:tc>
          <w:tcPr>
            <w:tcW w:w="1985" w:type="dxa"/>
          </w:tcPr>
          <w:p w:rsidR="00F478F6" w:rsidRDefault="00F478F6" w:rsidP="0086009E">
            <w:pPr>
              <w:spacing w:before="240"/>
              <w:rPr>
                <w:rFonts w:eastAsia="Arial Unicode MS" w:cs="Arial"/>
                <w:sz w:val="18"/>
                <w:szCs w:val="18"/>
              </w:rPr>
            </w:pPr>
            <w:r>
              <w:rPr>
                <w:rFonts w:eastAsia="Arial Unicode MS" w:cs="Arial"/>
                <w:sz w:val="18"/>
                <w:szCs w:val="18"/>
              </w:rPr>
              <w:t>Riders, leaders</w:t>
            </w:r>
          </w:p>
        </w:tc>
        <w:tc>
          <w:tcPr>
            <w:tcW w:w="4305" w:type="dxa"/>
          </w:tcPr>
          <w:p w:rsidR="00F478F6" w:rsidRDefault="00F478F6" w:rsidP="0086009E">
            <w:pPr>
              <w:spacing w:before="240"/>
              <w:rPr>
                <w:rFonts w:eastAsia="Arial Unicode MS" w:cs="Arial"/>
                <w:sz w:val="18"/>
                <w:szCs w:val="18"/>
              </w:rPr>
            </w:pPr>
            <w:r>
              <w:rPr>
                <w:rFonts w:eastAsia="Arial Unicode MS" w:cs="Arial"/>
                <w:sz w:val="18"/>
                <w:szCs w:val="18"/>
              </w:rPr>
              <w:t>Busy road stop as required</w:t>
            </w:r>
          </w:p>
        </w:tc>
        <w:tc>
          <w:tcPr>
            <w:tcW w:w="2487" w:type="dxa"/>
          </w:tcPr>
          <w:p w:rsidR="00F478F6" w:rsidRDefault="00F478F6" w:rsidP="0086009E">
            <w:pPr>
              <w:spacing w:before="240"/>
              <w:rPr>
                <w:rFonts w:eastAsia="Arial Unicode MS" w:cs="Arial"/>
                <w:sz w:val="18"/>
                <w:szCs w:val="18"/>
              </w:rPr>
            </w:pPr>
          </w:p>
        </w:tc>
      </w:tr>
      <w:tr w:rsidR="00F478F6" w:rsidTr="0086009E">
        <w:trPr>
          <w:trHeight w:hRule="exact" w:val="1293"/>
        </w:trPr>
        <w:tc>
          <w:tcPr>
            <w:tcW w:w="1843" w:type="dxa"/>
          </w:tcPr>
          <w:p w:rsidR="00F478F6" w:rsidRDefault="00F478F6" w:rsidP="0086009E">
            <w:pPr>
              <w:spacing w:before="240"/>
              <w:rPr>
                <w:rFonts w:eastAsia="Arial Unicode MS" w:cs="Arial"/>
                <w:sz w:val="18"/>
                <w:szCs w:val="18"/>
              </w:rPr>
            </w:pPr>
            <w:r>
              <w:rPr>
                <w:rFonts w:eastAsia="Arial Unicode MS" w:cs="Arial"/>
                <w:sz w:val="18"/>
                <w:szCs w:val="18"/>
              </w:rPr>
              <w:t>9.7 miles</w:t>
            </w:r>
          </w:p>
          <w:p w:rsidR="00F478F6" w:rsidRDefault="00F478F6" w:rsidP="0086009E">
            <w:pPr>
              <w:spacing w:before="240"/>
              <w:rPr>
                <w:rFonts w:eastAsia="Arial Unicode MS" w:cs="Arial"/>
                <w:sz w:val="18"/>
                <w:szCs w:val="18"/>
              </w:rPr>
            </w:pPr>
            <w:r>
              <w:rPr>
                <w:rFonts w:eastAsia="Arial Unicode MS" w:cs="Arial"/>
                <w:sz w:val="18"/>
                <w:szCs w:val="18"/>
              </w:rPr>
              <w:t xml:space="preserve">North </w:t>
            </w:r>
            <w:proofErr w:type="spellStart"/>
            <w:r>
              <w:rPr>
                <w:rFonts w:eastAsia="Arial Unicode MS" w:cs="Arial"/>
                <w:sz w:val="18"/>
                <w:szCs w:val="18"/>
              </w:rPr>
              <w:t>Watham</w:t>
            </w:r>
            <w:proofErr w:type="spellEnd"/>
            <w:r>
              <w:rPr>
                <w:rFonts w:eastAsia="Arial Unicode MS" w:cs="Arial"/>
                <w:sz w:val="18"/>
                <w:szCs w:val="18"/>
              </w:rPr>
              <w:t xml:space="preserve">/A30 junction </w:t>
            </w:r>
          </w:p>
        </w:tc>
        <w:tc>
          <w:tcPr>
            <w:tcW w:w="1985" w:type="dxa"/>
          </w:tcPr>
          <w:p w:rsidR="00F478F6" w:rsidRDefault="00F478F6" w:rsidP="0086009E">
            <w:pPr>
              <w:spacing w:before="240"/>
              <w:rPr>
                <w:rFonts w:eastAsia="Arial Unicode MS" w:cs="Arial"/>
                <w:sz w:val="18"/>
                <w:szCs w:val="18"/>
              </w:rPr>
            </w:pPr>
            <w:r>
              <w:rPr>
                <w:rFonts w:eastAsia="Arial Unicode MS" w:cs="Arial"/>
                <w:sz w:val="18"/>
                <w:szCs w:val="18"/>
              </w:rPr>
              <w:t>Riders, leaders</w:t>
            </w:r>
          </w:p>
        </w:tc>
        <w:tc>
          <w:tcPr>
            <w:tcW w:w="4305" w:type="dxa"/>
          </w:tcPr>
          <w:p w:rsidR="00F478F6" w:rsidRDefault="00F478F6" w:rsidP="0086009E">
            <w:pPr>
              <w:spacing w:before="240"/>
              <w:rPr>
                <w:rFonts w:eastAsia="Arial Unicode MS" w:cs="Arial"/>
                <w:sz w:val="18"/>
                <w:szCs w:val="18"/>
              </w:rPr>
            </w:pPr>
            <w:r>
              <w:rPr>
                <w:rFonts w:eastAsia="Arial Unicode MS" w:cs="Arial"/>
                <w:sz w:val="18"/>
                <w:szCs w:val="18"/>
              </w:rPr>
              <w:t>Busy road stop as required</w:t>
            </w:r>
          </w:p>
        </w:tc>
        <w:tc>
          <w:tcPr>
            <w:tcW w:w="2487" w:type="dxa"/>
          </w:tcPr>
          <w:p w:rsidR="00F478F6" w:rsidRDefault="00F478F6" w:rsidP="0086009E">
            <w:pPr>
              <w:spacing w:before="240"/>
              <w:rPr>
                <w:rFonts w:eastAsia="Arial Unicode MS" w:cs="Arial"/>
                <w:sz w:val="18"/>
                <w:szCs w:val="18"/>
              </w:rPr>
            </w:pPr>
          </w:p>
        </w:tc>
      </w:tr>
      <w:tr w:rsidR="004F3C84" w:rsidRPr="000B6FF1" w:rsidTr="00616D80">
        <w:trPr>
          <w:trHeight w:hRule="exact" w:val="910"/>
        </w:trPr>
        <w:tc>
          <w:tcPr>
            <w:tcW w:w="1843" w:type="dxa"/>
          </w:tcPr>
          <w:p w:rsidR="004F3C84" w:rsidRDefault="006F050C" w:rsidP="00BB5ABE">
            <w:pPr>
              <w:spacing w:before="240"/>
              <w:rPr>
                <w:rFonts w:eastAsia="Arial Unicode MS" w:cs="Arial"/>
                <w:sz w:val="18"/>
                <w:szCs w:val="18"/>
              </w:rPr>
            </w:pPr>
            <w:r>
              <w:rPr>
                <w:rFonts w:eastAsia="Arial Unicode MS" w:cs="Arial"/>
                <w:sz w:val="18"/>
                <w:szCs w:val="18"/>
              </w:rPr>
              <w:t>12.9 miles – Joining B3046</w:t>
            </w:r>
          </w:p>
        </w:tc>
        <w:tc>
          <w:tcPr>
            <w:tcW w:w="1985" w:type="dxa"/>
          </w:tcPr>
          <w:p w:rsidR="004F3C84" w:rsidRPr="000B6FF1" w:rsidRDefault="006F050C" w:rsidP="00913DAC">
            <w:pPr>
              <w:spacing w:before="240"/>
              <w:rPr>
                <w:rFonts w:eastAsia="Arial Unicode MS"/>
                <w:sz w:val="18"/>
                <w:szCs w:val="18"/>
              </w:rPr>
            </w:pPr>
            <w:r>
              <w:rPr>
                <w:rFonts w:eastAsia="Arial Unicode MS" w:cs="Arial"/>
                <w:sz w:val="18"/>
                <w:szCs w:val="18"/>
              </w:rPr>
              <w:t>Riders, leaders</w:t>
            </w:r>
          </w:p>
        </w:tc>
        <w:tc>
          <w:tcPr>
            <w:tcW w:w="4305" w:type="dxa"/>
          </w:tcPr>
          <w:p w:rsidR="004F3C84" w:rsidRDefault="006F050C" w:rsidP="00BB6273">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616D80">
        <w:trPr>
          <w:trHeight w:hRule="exact" w:val="1048"/>
        </w:trPr>
        <w:tc>
          <w:tcPr>
            <w:tcW w:w="1843" w:type="dxa"/>
          </w:tcPr>
          <w:p w:rsidR="004F3C84" w:rsidRDefault="006F050C" w:rsidP="006F050C">
            <w:pPr>
              <w:spacing w:before="240"/>
              <w:rPr>
                <w:rFonts w:eastAsia="Arial Unicode MS" w:cs="Arial"/>
                <w:sz w:val="18"/>
                <w:szCs w:val="18"/>
              </w:rPr>
            </w:pPr>
            <w:r>
              <w:rPr>
                <w:rFonts w:eastAsia="Arial Unicode MS" w:cs="Arial"/>
                <w:sz w:val="18"/>
                <w:szCs w:val="18"/>
              </w:rPr>
              <w:t>24 miles – Roundabout Joining A31</w:t>
            </w:r>
          </w:p>
        </w:tc>
        <w:tc>
          <w:tcPr>
            <w:tcW w:w="1985" w:type="dxa"/>
          </w:tcPr>
          <w:p w:rsidR="004F3C84" w:rsidRPr="000B6FF1" w:rsidRDefault="006F050C" w:rsidP="00913DAC">
            <w:pPr>
              <w:spacing w:before="240"/>
              <w:rPr>
                <w:rFonts w:eastAsia="Arial Unicode MS"/>
                <w:sz w:val="18"/>
                <w:szCs w:val="18"/>
              </w:rPr>
            </w:pPr>
            <w:r>
              <w:rPr>
                <w:rFonts w:eastAsia="Arial Unicode MS" w:cs="Arial"/>
                <w:sz w:val="18"/>
                <w:szCs w:val="18"/>
              </w:rPr>
              <w:t>Riders, leaders</w:t>
            </w:r>
          </w:p>
        </w:tc>
        <w:tc>
          <w:tcPr>
            <w:tcW w:w="4305" w:type="dxa"/>
          </w:tcPr>
          <w:p w:rsidR="004F3C84" w:rsidRDefault="006F050C" w:rsidP="00BB6273">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616D80">
        <w:trPr>
          <w:trHeight w:hRule="exact" w:val="1200"/>
        </w:trPr>
        <w:tc>
          <w:tcPr>
            <w:tcW w:w="1843" w:type="dxa"/>
          </w:tcPr>
          <w:p w:rsidR="004F3C84" w:rsidRDefault="006F050C" w:rsidP="00BB5ABE">
            <w:pPr>
              <w:spacing w:before="240"/>
              <w:rPr>
                <w:rFonts w:eastAsia="Arial Unicode MS" w:cs="Arial"/>
                <w:sz w:val="18"/>
                <w:szCs w:val="18"/>
              </w:rPr>
            </w:pPr>
            <w:r>
              <w:rPr>
                <w:rFonts w:eastAsia="Arial Unicode MS" w:cs="Arial"/>
                <w:sz w:val="18"/>
                <w:szCs w:val="18"/>
              </w:rPr>
              <w:t>24.5 miles – Turning off A31. Turning right across oncoming traffic</w:t>
            </w:r>
          </w:p>
        </w:tc>
        <w:tc>
          <w:tcPr>
            <w:tcW w:w="1985" w:type="dxa"/>
          </w:tcPr>
          <w:p w:rsidR="004F3C84" w:rsidRPr="000B6FF1" w:rsidRDefault="006F050C" w:rsidP="00913DAC">
            <w:pPr>
              <w:spacing w:before="240"/>
              <w:rPr>
                <w:rFonts w:eastAsia="Arial Unicode MS"/>
                <w:sz w:val="18"/>
                <w:szCs w:val="18"/>
              </w:rPr>
            </w:pPr>
            <w:r>
              <w:rPr>
                <w:rFonts w:eastAsia="Arial Unicode MS" w:cs="Arial"/>
                <w:sz w:val="18"/>
                <w:szCs w:val="18"/>
              </w:rPr>
              <w:t>Riders, leaders</w:t>
            </w:r>
          </w:p>
        </w:tc>
        <w:tc>
          <w:tcPr>
            <w:tcW w:w="4305" w:type="dxa"/>
          </w:tcPr>
          <w:p w:rsidR="004F3C84" w:rsidRDefault="006F050C" w:rsidP="006F050C">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4F3C84" w:rsidRDefault="004F3C84" w:rsidP="004F5238">
            <w:pPr>
              <w:spacing w:before="240"/>
              <w:rPr>
                <w:rFonts w:eastAsia="Arial Unicode MS" w:cs="Arial"/>
                <w:sz w:val="18"/>
                <w:szCs w:val="18"/>
              </w:rPr>
            </w:pPr>
          </w:p>
        </w:tc>
      </w:tr>
      <w:tr w:rsidR="00272EEE" w:rsidRPr="000B6FF1" w:rsidTr="00616D80">
        <w:trPr>
          <w:trHeight w:hRule="exact" w:val="1004"/>
        </w:trPr>
        <w:tc>
          <w:tcPr>
            <w:tcW w:w="1843" w:type="dxa"/>
          </w:tcPr>
          <w:p w:rsidR="00272EEE" w:rsidRPr="000B6FF1" w:rsidRDefault="006F050C" w:rsidP="00B40779">
            <w:pPr>
              <w:spacing w:before="240"/>
              <w:rPr>
                <w:rFonts w:eastAsia="Arial Unicode MS" w:cs="Arial"/>
                <w:sz w:val="18"/>
                <w:szCs w:val="18"/>
              </w:rPr>
            </w:pPr>
            <w:r>
              <w:rPr>
                <w:rFonts w:eastAsia="Arial Unicode MS" w:cs="Arial"/>
                <w:sz w:val="18"/>
                <w:szCs w:val="18"/>
              </w:rPr>
              <w:t>30.6 miles – Crossing A31. Busy road.</w:t>
            </w:r>
          </w:p>
        </w:tc>
        <w:tc>
          <w:tcPr>
            <w:tcW w:w="1985" w:type="dxa"/>
          </w:tcPr>
          <w:p w:rsidR="00E92769" w:rsidRPr="000B6FF1" w:rsidRDefault="006F050C"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BB6273" w:rsidRPr="000B6FF1" w:rsidRDefault="006F050C" w:rsidP="00BB6273">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616D80">
        <w:trPr>
          <w:trHeight w:hRule="exact" w:val="872"/>
        </w:trPr>
        <w:tc>
          <w:tcPr>
            <w:tcW w:w="1843" w:type="dxa"/>
          </w:tcPr>
          <w:p w:rsidR="000A3107" w:rsidRPr="000B6FF1" w:rsidRDefault="006F050C" w:rsidP="006F050C">
            <w:pPr>
              <w:spacing w:before="240"/>
              <w:rPr>
                <w:rFonts w:eastAsia="Arial Unicode MS" w:cs="Arial"/>
                <w:sz w:val="18"/>
                <w:szCs w:val="18"/>
              </w:rPr>
            </w:pPr>
            <w:r>
              <w:rPr>
                <w:rFonts w:eastAsia="Arial Unicode MS" w:cs="Arial"/>
                <w:sz w:val="18"/>
                <w:szCs w:val="18"/>
              </w:rPr>
              <w:t>34.4 – 35.5 miles – Descent.</w:t>
            </w:r>
          </w:p>
        </w:tc>
        <w:tc>
          <w:tcPr>
            <w:tcW w:w="1985" w:type="dxa"/>
          </w:tcPr>
          <w:p w:rsidR="000A3107" w:rsidRPr="000B6FF1" w:rsidRDefault="006F050C"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0A3107" w:rsidRPr="000B6FF1" w:rsidRDefault="006F050C" w:rsidP="006F050C">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w:t>
            </w:r>
            <w:proofErr w:type="gramEnd"/>
            <w:r>
              <w:rPr>
                <w:rFonts w:eastAsia="Arial Unicode MS" w:cs="Arial"/>
                <w:sz w:val="18"/>
                <w:szCs w:val="18"/>
              </w:rPr>
              <w:t xml:space="preserve"> leave a good distance between you and the rider in front. Control speed. Exercise caution.</w:t>
            </w:r>
          </w:p>
        </w:tc>
        <w:tc>
          <w:tcPr>
            <w:tcW w:w="2487" w:type="dxa"/>
          </w:tcPr>
          <w:p w:rsidR="000A3107" w:rsidRPr="000B6FF1" w:rsidRDefault="000A3107" w:rsidP="004F5238">
            <w:pPr>
              <w:spacing w:before="240"/>
              <w:rPr>
                <w:rFonts w:eastAsia="Arial Unicode MS" w:cs="Arial"/>
                <w:sz w:val="18"/>
                <w:szCs w:val="18"/>
              </w:rPr>
            </w:pPr>
          </w:p>
        </w:tc>
      </w:tr>
      <w:tr w:rsidR="00B40779" w:rsidRPr="000B6FF1" w:rsidTr="00616D80">
        <w:trPr>
          <w:trHeight w:hRule="exact" w:val="978"/>
        </w:trPr>
        <w:tc>
          <w:tcPr>
            <w:tcW w:w="1843" w:type="dxa"/>
          </w:tcPr>
          <w:p w:rsidR="00B40779" w:rsidRDefault="006F050C" w:rsidP="00B40779">
            <w:pPr>
              <w:spacing w:before="240"/>
              <w:rPr>
                <w:rFonts w:eastAsia="Arial Unicode MS" w:cs="Arial"/>
                <w:sz w:val="18"/>
                <w:szCs w:val="18"/>
              </w:rPr>
            </w:pPr>
            <w:r>
              <w:rPr>
                <w:rFonts w:eastAsia="Arial Unicode MS" w:cs="Arial"/>
                <w:sz w:val="18"/>
                <w:szCs w:val="18"/>
              </w:rPr>
              <w:lastRenderedPageBreak/>
              <w:t>35.6 miles – Junction at bottom of descent.</w:t>
            </w:r>
          </w:p>
        </w:tc>
        <w:tc>
          <w:tcPr>
            <w:tcW w:w="1985" w:type="dxa"/>
          </w:tcPr>
          <w:p w:rsidR="00B40779" w:rsidRPr="000B6FF1" w:rsidRDefault="006F050C" w:rsidP="00C86041">
            <w:pPr>
              <w:spacing w:before="240"/>
              <w:rPr>
                <w:rFonts w:eastAsia="Arial Unicode MS"/>
                <w:sz w:val="18"/>
                <w:szCs w:val="18"/>
              </w:rPr>
            </w:pPr>
            <w:r>
              <w:rPr>
                <w:rFonts w:eastAsia="Arial Unicode MS" w:cs="Arial"/>
                <w:sz w:val="18"/>
                <w:szCs w:val="18"/>
              </w:rPr>
              <w:t>Riders, leaders</w:t>
            </w:r>
          </w:p>
        </w:tc>
        <w:tc>
          <w:tcPr>
            <w:tcW w:w="4305" w:type="dxa"/>
          </w:tcPr>
          <w:p w:rsidR="00B40779" w:rsidRDefault="006F050C"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616D80">
        <w:trPr>
          <w:trHeight w:hRule="exact" w:val="801"/>
        </w:trPr>
        <w:tc>
          <w:tcPr>
            <w:tcW w:w="1843" w:type="dxa"/>
          </w:tcPr>
          <w:p w:rsidR="00B40779" w:rsidRDefault="006F050C" w:rsidP="006F050C">
            <w:pPr>
              <w:spacing w:before="240"/>
              <w:rPr>
                <w:rFonts w:eastAsia="Arial Unicode MS" w:cs="Arial"/>
                <w:sz w:val="18"/>
                <w:szCs w:val="18"/>
              </w:rPr>
            </w:pPr>
            <w:r>
              <w:rPr>
                <w:rFonts w:eastAsia="Arial Unicode MS" w:cs="Arial"/>
                <w:sz w:val="18"/>
                <w:szCs w:val="18"/>
              </w:rPr>
              <w:t>35.7 miles – Joining A339. Busy road.</w:t>
            </w:r>
          </w:p>
        </w:tc>
        <w:tc>
          <w:tcPr>
            <w:tcW w:w="1985" w:type="dxa"/>
          </w:tcPr>
          <w:p w:rsidR="00B40779" w:rsidRPr="000B6FF1" w:rsidRDefault="006F050C" w:rsidP="00C86041">
            <w:pPr>
              <w:spacing w:before="240"/>
              <w:rPr>
                <w:rFonts w:eastAsia="Arial Unicode MS"/>
                <w:sz w:val="18"/>
                <w:szCs w:val="18"/>
              </w:rPr>
            </w:pPr>
            <w:r>
              <w:rPr>
                <w:rFonts w:eastAsia="Arial Unicode MS" w:cs="Arial"/>
                <w:sz w:val="18"/>
                <w:szCs w:val="18"/>
              </w:rPr>
              <w:t>Riders, leaders</w:t>
            </w:r>
          </w:p>
        </w:tc>
        <w:tc>
          <w:tcPr>
            <w:tcW w:w="4305" w:type="dxa"/>
          </w:tcPr>
          <w:p w:rsidR="00B40779" w:rsidRDefault="006F050C" w:rsidP="00B40779">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616D80">
        <w:trPr>
          <w:trHeight w:hRule="exact" w:val="1152"/>
        </w:trPr>
        <w:tc>
          <w:tcPr>
            <w:tcW w:w="1843" w:type="dxa"/>
          </w:tcPr>
          <w:p w:rsidR="00B40779" w:rsidRDefault="006F050C" w:rsidP="00B40779">
            <w:pPr>
              <w:spacing w:before="240"/>
              <w:rPr>
                <w:rFonts w:eastAsia="Arial Unicode MS" w:cs="Arial"/>
                <w:sz w:val="18"/>
                <w:szCs w:val="18"/>
              </w:rPr>
            </w:pPr>
            <w:r>
              <w:rPr>
                <w:rFonts w:eastAsia="Arial Unicode MS" w:cs="Arial"/>
                <w:sz w:val="18"/>
                <w:szCs w:val="18"/>
              </w:rPr>
              <w:t xml:space="preserve">35.9 miles </w:t>
            </w:r>
            <w:r w:rsidR="00616D80">
              <w:rPr>
                <w:rFonts w:eastAsia="Arial Unicode MS" w:cs="Arial"/>
                <w:sz w:val="18"/>
                <w:szCs w:val="18"/>
              </w:rPr>
              <w:t>–</w:t>
            </w:r>
            <w:r>
              <w:rPr>
                <w:rFonts w:eastAsia="Arial Unicode MS" w:cs="Arial"/>
                <w:sz w:val="18"/>
                <w:szCs w:val="18"/>
              </w:rPr>
              <w:t xml:space="preserve"> </w:t>
            </w:r>
            <w:r w:rsidR="00616D80">
              <w:rPr>
                <w:rFonts w:eastAsia="Arial Unicode MS" w:cs="Arial"/>
                <w:sz w:val="18"/>
                <w:szCs w:val="18"/>
              </w:rPr>
              <w:t>Leaving café stop, joining A339.</w:t>
            </w:r>
          </w:p>
        </w:tc>
        <w:tc>
          <w:tcPr>
            <w:tcW w:w="1985" w:type="dxa"/>
          </w:tcPr>
          <w:p w:rsidR="00B40779" w:rsidRPr="000B6FF1" w:rsidRDefault="00616D80" w:rsidP="00C86041">
            <w:pPr>
              <w:spacing w:before="240"/>
              <w:rPr>
                <w:rFonts w:eastAsia="Arial Unicode MS"/>
                <w:sz w:val="18"/>
                <w:szCs w:val="18"/>
              </w:rPr>
            </w:pPr>
            <w:r>
              <w:rPr>
                <w:rFonts w:eastAsia="Arial Unicode MS" w:cs="Arial"/>
                <w:sz w:val="18"/>
                <w:szCs w:val="18"/>
              </w:rPr>
              <w:t>Riders, leaders</w:t>
            </w:r>
          </w:p>
        </w:tc>
        <w:tc>
          <w:tcPr>
            <w:tcW w:w="4305" w:type="dxa"/>
          </w:tcPr>
          <w:p w:rsidR="00B40779" w:rsidRDefault="00616D80" w:rsidP="00B40779">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B40779" w:rsidRDefault="00B40779" w:rsidP="004F5238">
            <w:pPr>
              <w:spacing w:before="240"/>
              <w:rPr>
                <w:rFonts w:eastAsia="Arial Unicode MS" w:cs="Arial"/>
                <w:sz w:val="18"/>
                <w:szCs w:val="18"/>
              </w:rPr>
            </w:pPr>
          </w:p>
        </w:tc>
      </w:tr>
      <w:tr w:rsidR="00616D80" w:rsidRPr="000B6FF1" w:rsidTr="00616D80">
        <w:trPr>
          <w:trHeight w:hRule="exact" w:val="1362"/>
        </w:trPr>
        <w:tc>
          <w:tcPr>
            <w:tcW w:w="1843" w:type="dxa"/>
          </w:tcPr>
          <w:p w:rsidR="00616D80" w:rsidRDefault="00616D80" w:rsidP="00B40779">
            <w:pPr>
              <w:spacing w:before="240"/>
              <w:rPr>
                <w:rFonts w:eastAsia="Arial Unicode MS" w:cs="Arial"/>
                <w:sz w:val="18"/>
                <w:szCs w:val="18"/>
              </w:rPr>
            </w:pPr>
            <w:r>
              <w:rPr>
                <w:rFonts w:eastAsia="Arial Unicode MS" w:cs="Arial"/>
                <w:sz w:val="18"/>
                <w:szCs w:val="18"/>
              </w:rPr>
              <w:t>49 miles – Descent through Hatch Warren. Mini roundabouts, road furniture.</w:t>
            </w:r>
          </w:p>
        </w:tc>
        <w:tc>
          <w:tcPr>
            <w:tcW w:w="1985" w:type="dxa"/>
          </w:tcPr>
          <w:p w:rsidR="00616D80" w:rsidRDefault="00616D80"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616D80" w:rsidRDefault="00616D80" w:rsidP="00B40779">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w:t>
            </w:r>
            <w:proofErr w:type="gramEnd"/>
            <w:r>
              <w:rPr>
                <w:rFonts w:eastAsia="Arial Unicode MS" w:cs="Arial"/>
                <w:sz w:val="18"/>
                <w:szCs w:val="18"/>
              </w:rPr>
              <w:t xml:space="preserve"> leave a good distance between you and the rider in front. Control speed. Exercise caution.</w:t>
            </w:r>
          </w:p>
        </w:tc>
        <w:tc>
          <w:tcPr>
            <w:tcW w:w="2487" w:type="dxa"/>
          </w:tcPr>
          <w:p w:rsidR="00616D80" w:rsidRDefault="00616D80" w:rsidP="004F5238">
            <w:pPr>
              <w:spacing w:before="240"/>
              <w:rPr>
                <w:rFonts w:eastAsia="Arial Unicode MS" w:cs="Arial"/>
                <w:sz w:val="18"/>
                <w:szCs w:val="18"/>
              </w:rPr>
            </w:pPr>
          </w:p>
        </w:tc>
      </w:tr>
      <w:tr w:rsidR="00616D80" w:rsidRPr="000B6FF1" w:rsidTr="00616D80">
        <w:trPr>
          <w:trHeight w:hRule="exact" w:val="1018"/>
        </w:trPr>
        <w:tc>
          <w:tcPr>
            <w:tcW w:w="1843" w:type="dxa"/>
          </w:tcPr>
          <w:p w:rsidR="00616D80" w:rsidRDefault="00616D80" w:rsidP="00B40779">
            <w:pPr>
              <w:spacing w:before="240"/>
              <w:rPr>
                <w:rFonts w:eastAsia="Arial Unicode MS" w:cs="Arial"/>
                <w:sz w:val="18"/>
                <w:szCs w:val="18"/>
              </w:rPr>
            </w:pPr>
            <w:r>
              <w:rPr>
                <w:rFonts w:eastAsia="Arial Unicode MS" w:cs="Arial"/>
                <w:sz w:val="18"/>
                <w:szCs w:val="18"/>
              </w:rPr>
              <w:t>49.9 miles – Roundabout on A30</w:t>
            </w:r>
          </w:p>
        </w:tc>
        <w:tc>
          <w:tcPr>
            <w:tcW w:w="1985" w:type="dxa"/>
          </w:tcPr>
          <w:p w:rsidR="00616D80" w:rsidRDefault="00616D80"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616D80" w:rsidRDefault="00616D80" w:rsidP="00B40779">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616D80" w:rsidRDefault="00616D80"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616D80" w:rsidP="00083549">
            <w:pPr>
              <w:rPr>
                <w:sz w:val="18"/>
                <w:szCs w:val="18"/>
              </w:rPr>
            </w:pPr>
            <w:r>
              <w:rPr>
                <w:sz w:val="18"/>
                <w:szCs w:val="18"/>
              </w:rPr>
              <w:t xml:space="preserve">57.6 </w:t>
            </w:r>
            <w:r w:rsidR="00083549" w:rsidRPr="00083549">
              <w:rPr>
                <w:sz w:val="18"/>
                <w:szCs w:val="18"/>
              </w:rPr>
              <w:t>miles</w:t>
            </w:r>
          </w:p>
          <w:p w:rsidR="00083549" w:rsidRPr="00083549" w:rsidRDefault="00616D80" w:rsidP="00083549">
            <w:pPr>
              <w:rPr>
                <w:sz w:val="18"/>
                <w:szCs w:val="18"/>
              </w:rPr>
            </w:pPr>
            <w:r>
              <w:rPr>
                <w:sz w:val="18"/>
                <w:szCs w:val="18"/>
              </w:rPr>
              <w:t>2,367</w:t>
            </w:r>
            <w:bookmarkStart w:id="4" w:name="_GoBack"/>
            <w:bookmarkEnd w:id="4"/>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0C" w:rsidRDefault="0085670C">
      <w:r>
        <w:separator/>
      </w:r>
    </w:p>
  </w:endnote>
  <w:endnote w:type="continuationSeparator" w:id="0">
    <w:p w:rsidR="0085670C" w:rsidRDefault="008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616D80">
      <w:rPr>
        <w:noProof/>
      </w:rPr>
      <w:t>2</w:t>
    </w:r>
    <w:r>
      <w:fldChar w:fldCharType="end"/>
    </w:r>
    <w:r>
      <w:t xml:space="preserve"> of </w:t>
    </w:r>
    <w:r w:rsidR="0085670C">
      <w:fldChar w:fldCharType="begin"/>
    </w:r>
    <w:r w:rsidR="0085670C">
      <w:instrText xml:space="preserve"> NUMPAGES </w:instrText>
    </w:r>
    <w:r w:rsidR="0085670C">
      <w:fldChar w:fldCharType="separate"/>
    </w:r>
    <w:r w:rsidR="00616D80">
      <w:rPr>
        <w:noProof/>
      </w:rPr>
      <w:t>3</w:t>
    </w:r>
    <w:r w:rsidR="008567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0C" w:rsidRDefault="0085670C">
      <w:r>
        <w:separator/>
      </w:r>
    </w:p>
  </w:footnote>
  <w:footnote w:type="continuationSeparator" w:id="0">
    <w:p w:rsidR="0085670C" w:rsidRDefault="00856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16D80"/>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50C"/>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5670C"/>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478F6"/>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AB5C-30BE-44AF-8FB0-C7C5E67F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2021-04-14T11:58:00Z</cp:lastPrinted>
  <dcterms:created xsi:type="dcterms:W3CDTF">2021-05-13T11:52:00Z</dcterms:created>
  <dcterms:modified xsi:type="dcterms:W3CDTF">2021-05-13T11:52:00Z</dcterms:modified>
</cp:coreProperties>
</file>